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F244" w14:textId="77777777" w:rsidR="001B20A5" w:rsidRDefault="001B20A5" w:rsidP="001B20A5">
      <w:pPr>
        <w:shd w:val="clear" w:color="auto" w:fill="FFFFFF"/>
        <w:spacing w:after="100" w:afterAutospacing="1" w:line="360" w:lineRule="auto"/>
        <w:jc w:val="center"/>
        <w:rPr>
          <w:rFonts w:ascii="Arial" w:eastAsia="Times New Roman" w:hAnsi="Arial" w:cs="Arial"/>
          <w:b/>
          <w:bCs/>
          <w:color w:val="333333"/>
          <w:sz w:val="25"/>
          <w:szCs w:val="25"/>
          <w:lang w:eastAsia="es-CO"/>
        </w:rPr>
      </w:pPr>
    </w:p>
    <w:p w14:paraId="76D0ECD3" w14:textId="66E12FE2" w:rsidR="001B20A5" w:rsidRDefault="001B20A5" w:rsidP="001B20A5">
      <w:pPr>
        <w:shd w:val="clear" w:color="auto" w:fill="FFFFFF"/>
        <w:spacing w:after="100" w:afterAutospacing="1" w:line="360" w:lineRule="auto"/>
        <w:jc w:val="center"/>
        <w:rPr>
          <w:rFonts w:ascii="Arial" w:eastAsia="Times New Roman" w:hAnsi="Arial" w:cs="Arial"/>
          <w:b/>
          <w:bCs/>
          <w:color w:val="333333"/>
          <w:sz w:val="25"/>
          <w:szCs w:val="25"/>
          <w:lang w:eastAsia="es-CO"/>
        </w:rPr>
      </w:pPr>
      <w:r>
        <w:rPr>
          <w:rFonts w:ascii="Arial" w:eastAsia="Times New Roman" w:hAnsi="Arial" w:cs="Arial"/>
          <w:b/>
          <w:bCs/>
          <w:color w:val="333333"/>
          <w:sz w:val="25"/>
          <w:szCs w:val="25"/>
          <w:lang w:eastAsia="es-CO"/>
        </w:rPr>
        <w:t>DECRETO 1074 DE MAYO 29 DE 2015</w:t>
      </w:r>
    </w:p>
    <w:p w14:paraId="67F6F1FA" w14:textId="2C546163" w:rsidR="001B20A5" w:rsidRDefault="001B20A5" w:rsidP="001B20A5">
      <w:pPr>
        <w:shd w:val="clear" w:color="auto" w:fill="FFFFFF"/>
        <w:spacing w:after="100" w:afterAutospacing="1" w:line="360" w:lineRule="auto"/>
        <w:jc w:val="center"/>
        <w:rPr>
          <w:rFonts w:ascii="Arial" w:eastAsia="Times New Roman" w:hAnsi="Arial" w:cs="Arial"/>
          <w:b/>
          <w:bCs/>
          <w:color w:val="333333"/>
          <w:sz w:val="25"/>
          <w:szCs w:val="25"/>
          <w:lang w:eastAsia="es-CO"/>
        </w:rPr>
      </w:pPr>
      <w:r>
        <w:rPr>
          <w:rFonts w:ascii="Arial" w:eastAsia="Times New Roman" w:hAnsi="Arial" w:cs="Arial"/>
          <w:b/>
          <w:bCs/>
          <w:color w:val="333333"/>
          <w:sz w:val="25"/>
          <w:szCs w:val="25"/>
          <w:lang w:eastAsia="es-CO"/>
        </w:rPr>
        <w:t>COMPILATORIO DE LOS SECTORES COMERCIO, INDUTRIA Y TURISMO</w:t>
      </w:r>
    </w:p>
    <w:p w14:paraId="34D4A40D" w14:textId="433DC0C1" w:rsidR="001B20A5" w:rsidRDefault="001B20A5" w:rsidP="001B20A5">
      <w:pPr>
        <w:shd w:val="clear" w:color="auto" w:fill="FFFFFF"/>
        <w:spacing w:after="100" w:afterAutospacing="1" w:line="360" w:lineRule="auto"/>
        <w:jc w:val="center"/>
        <w:rPr>
          <w:rFonts w:ascii="Arial" w:eastAsia="Times New Roman" w:hAnsi="Arial" w:cs="Arial"/>
          <w:b/>
          <w:bCs/>
          <w:color w:val="333333"/>
          <w:sz w:val="25"/>
          <w:szCs w:val="25"/>
          <w:lang w:eastAsia="es-CO"/>
        </w:rPr>
      </w:pPr>
      <w:r>
        <w:rPr>
          <w:rFonts w:ascii="Arial" w:eastAsia="Times New Roman" w:hAnsi="Arial" w:cs="Arial"/>
          <w:b/>
          <w:bCs/>
          <w:color w:val="333333"/>
          <w:sz w:val="25"/>
          <w:szCs w:val="25"/>
          <w:lang w:eastAsia="es-CO"/>
        </w:rPr>
        <w:t>(…….)</w:t>
      </w:r>
    </w:p>
    <w:p w14:paraId="7277CCA6" w14:textId="77777777" w:rsidR="001B20A5" w:rsidRDefault="001B20A5" w:rsidP="001B20A5">
      <w:pPr>
        <w:shd w:val="clear" w:color="auto" w:fill="FFFFFF"/>
        <w:spacing w:after="100" w:afterAutospacing="1" w:line="360" w:lineRule="auto"/>
        <w:jc w:val="center"/>
        <w:rPr>
          <w:rFonts w:ascii="Arial" w:eastAsia="Times New Roman" w:hAnsi="Arial" w:cs="Arial"/>
          <w:b/>
          <w:bCs/>
          <w:color w:val="333333"/>
          <w:sz w:val="25"/>
          <w:szCs w:val="25"/>
          <w:lang w:eastAsia="es-CO"/>
        </w:rPr>
      </w:pPr>
    </w:p>
    <w:p w14:paraId="03C325AC" w14:textId="5CA64A28" w:rsidR="001B20A5" w:rsidRPr="001B20A5" w:rsidRDefault="001B20A5" w:rsidP="001B20A5">
      <w:pPr>
        <w:shd w:val="clear" w:color="auto" w:fill="FFFFFF"/>
        <w:spacing w:after="100" w:afterAutospacing="1" w:line="360" w:lineRule="auto"/>
        <w:jc w:val="center"/>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SECCIÓN 2</w:t>
      </w:r>
    </w:p>
    <w:p w14:paraId="7088F021" w14:textId="0EE9AB14" w:rsidR="001B20A5" w:rsidRPr="001B20A5" w:rsidRDefault="001B20A5" w:rsidP="001B20A5">
      <w:pPr>
        <w:shd w:val="clear" w:color="auto" w:fill="FFFFFF"/>
        <w:spacing w:after="100" w:afterAutospacing="1" w:line="360" w:lineRule="auto"/>
        <w:jc w:val="center"/>
        <w:rPr>
          <w:rFonts w:ascii="Arial" w:eastAsia="Times New Roman" w:hAnsi="Arial" w:cs="Arial"/>
          <w:color w:val="333333"/>
          <w:sz w:val="25"/>
          <w:szCs w:val="25"/>
          <w:lang w:eastAsia="es-CO"/>
        </w:rPr>
      </w:pPr>
    </w:p>
    <w:p w14:paraId="5071081D" w14:textId="77777777" w:rsidR="001B20A5" w:rsidRPr="001B20A5" w:rsidRDefault="001B20A5" w:rsidP="001B20A5">
      <w:pPr>
        <w:shd w:val="clear" w:color="auto" w:fill="FFFFFF"/>
        <w:spacing w:after="100" w:afterAutospacing="1" w:line="360" w:lineRule="auto"/>
        <w:jc w:val="center"/>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CLASIFICACIÓN DEL TAMAÑO EMPRESARI AL</w:t>
      </w:r>
    </w:p>
    <w:p w14:paraId="1B51308E"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 </w:t>
      </w:r>
    </w:p>
    <w:p w14:paraId="14C08045"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highlight w:val="green"/>
          <w:lang w:eastAsia="es-CO"/>
        </w:rPr>
        <w:t>ARTÍCULO  </w:t>
      </w:r>
      <w:bookmarkStart w:id="0" w:name="2.2.1.13.2.1"/>
      <w:r w:rsidRPr="001B20A5">
        <w:rPr>
          <w:rFonts w:ascii="Arial" w:eastAsia="Times New Roman" w:hAnsi="Arial" w:cs="Arial"/>
          <w:b/>
          <w:bCs/>
          <w:color w:val="333333"/>
          <w:sz w:val="25"/>
          <w:szCs w:val="25"/>
          <w:highlight w:val="green"/>
          <w:lang w:eastAsia="es-CO"/>
        </w:rPr>
        <w:t> </w:t>
      </w:r>
      <w:bookmarkEnd w:id="0"/>
      <w:r w:rsidRPr="001B20A5">
        <w:rPr>
          <w:rFonts w:ascii="Arial" w:eastAsia="Times New Roman" w:hAnsi="Arial" w:cs="Arial"/>
          <w:b/>
          <w:bCs/>
          <w:color w:val="333333"/>
          <w:sz w:val="25"/>
          <w:szCs w:val="25"/>
          <w:highlight w:val="green"/>
          <w:lang w:eastAsia="es-CO"/>
        </w:rPr>
        <w:t> 2.2.1.13.2.1.</w:t>
      </w:r>
      <w:r w:rsidRPr="001B20A5">
        <w:rPr>
          <w:rFonts w:ascii="Arial" w:eastAsia="Times New Roman" w:hAnsi="Arial" w:cs="Arial"/>
          <w:color w:val="333333"/>
          <w:sz w:val="25"/>
          <w:szCs w:val="25"/>
          <w:highlight w:val="green"/>
          <w:lang w:eastAsia="es-CO"/>
        </w:rPr>
        <w:t> Criterio para la clasificación del tamaño empresarial. Para efectos de la clasificación del tamaño empresarial se tendrá como criterio exclusivo los ingresos por actividades ordinarias anuales de la respectiva empresa.</w:t>
      </w:r>
    </w:p>
    <w:p w14:paraId="48BA7B7E" w14:textId="31579691"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El nivel de ingresos por actividades ordinarias anuales con base en el cual se determina el tamaño empresarial variará dependiendo del sector económico en el cual la empresa desarrolle su actividad.</w:t>
      </w:r>
    </w:p>
    <w:p w14:paraId="3A4D3C30" w14:textId="66CCCA6C"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ARTÍCULO  </w:t>
      </w:r>
      <w:bookmarkStart w:id="1" w:name="2.2.1.13.2.2"/>
      <w:r w:rsidRPr="001B20A5">
        <w:rPr>
          <w:rFonts w:ascii="Arial" w:eastAsia="Times New Roman" w:hAnsi="Arial" w:cs="Arial"/>
          <w:b/>
          <w:bCs/>
          <w:color w:val="333333"/>
          <w:sz w:val="25"/>
          <w:szCs w:val="25"/>
          <w:lang w:eastAsia="es-CO"/>
        </w:rPr>
        <w:t> </w:t>
      </w:r>
      <w:bookmarkEnd w:id="1"/>
      <w:r w:rsidRPr="001B20A5">
        <w:rPr>
          <w:rFonts w:ascii="Arial" w:eastAsia="Times New Roman" w:hAnsi="Arial" w:cs="Arial"/>
          <w:b/>
          <w:bCs/>
          <w:color w:val="333333"/>
          <w:sz w:val="25"/>
          <w:szCs w:val="25"/>
          <w:lang w:eastAsia="es-CO"/>
        </w:rPr>
        <w:t> 2.2.1.13.2.2.</w:t>
      </w:r>
      <w:r w:rsidRPr="001B20A5">
        <w:rPr>
          <w:rFonts w:ascii="Arial" w:eastAsia="Times New Roman" w:hAnsi="Arial" w:cs="Arial"/>
          <w:color w:val="333333"/>
          <w:sz w:val="25"/>
          <w:szCs w:val="25"/>
          <w:lang w:eastAsia="es-CO"/>
        </w:rPr>
        <w:t> Rangos para la Definición del Tamaño Empresarial. Para efectos de la clasificación del tamaño empresarial se utilizarán, con base en el criterio previsto en el artículo anterior, los siguientes rangos para determinar el valor de los ingresos por actividades ordinarias anuales de acuerdo con el sector económico de que se trate:</w:t>
      </w:r>
    </w:p>
    <w:p w14:paraId="78DAE884" w14:textId="631ABB59"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highlight w:val="green"/>
          <w:lang w:eastAsia="es-CO"/>
        </w:rPr>
        <w:t>1. Para el sector manufacturero:</w:t>
      </w:r>
    </w:p>
    <w:p w14:paraId="6CA5A258" w14:textId="68BFA146"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highlight w:val="green"/>
          <w:lang w:eastAsia="es-CO"/>
        </w:rPr>
        <w:t>Microempresa.</w:t>
      </w:r>
      <w:r w:rsidRPr="001B20A5">
        <w:rPr>
          <w:rFonts w:ascii="Arial" w:eastAsia="Times New Roman" w:hAnsi="Arial" w:cs="Arial"/>
          <w:color w:val="333333"/>
          <w:sz w:val="25"/>
          <w:szCs w:val="25"/>
          <w:highlight w:val="green"/>
          <w:lang w:eastAsia="es-CO"/>
        </w:rPr>
        <w:t> Aquella cuyos ingresos por actividades ordinarias anuales sean inferiores o iguales a veintitrés mil quinientos sesenta y tres Unidades de Valor Tributario (23.563 UVT).</w:t>
      </w:r>
    </w:p>
    <w:p w14:paraId="4AB93E91" w14:textId="1A9AE8CD"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 </w:t>
      </w:r>
      <w:r w:rsidRPr="001B20A5">
        <w:rPr>
          <w:rFonts w:ascii="Arial" w:eastAsia="Times New Roman" w:hAnsi="Arial" w:cs="Arial"/>
          <w:b/>
          <w:bCs/>
          <w:color w:val="333333"/>
          <w:sz w:val="25"/>
          <w:szCs w:val="25"/>
          <w:lang w:eastAsia="es-CO"/>
        </w:rPr>
        <w:t>Pequeña Empresa.</w:t>
      </w:r>
      <w:r w:rsidRPr="001B20A5">
        <w:rPr>
          <w:rFonts w:ascii="Arial" w:eastAsia="Times New Roman" w:hAnsi="Arial" w:cs="Arial"/>
          <w:color w:val="333333"/>
          <w:sz w:val="25"/>
          <w:szCs w:val="25"/>
          <w:lang w:eastAsia="es-CO"/>
        </w:rPr>
        <w:t> Aquella cuyos ingresos por actividades ordinarias anuales sean superiores a veintitrés mil quinientos sesenta y tres Unidades de Valor Tributario (23.563 UVT) e inferiores o iguales a doscientos cuatro mil novecientos noventa y cinco Unidades de Valor Tributario (204.995 UVT).</w:t>
      </w:r>
    </w:p>
    <w:p w14:paraId="3FA21DBD"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lastRenderedPageBreak/>
        <w:t> </w:t>
      </w:r>
    </w:p>
    <w:p w14:paraId="495BA610"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Mediana Empresa.</w:t>
      </w:r>
      <w:r w:rsidRPr="001B20A5">
        <w:rPr>
          <w:rFonts w:ascii="Arial" w:eastAsia="Times New Roman" w:hAnsi="Arial" w:cs="Arial"/>
          <w:color w:val="333333"/>
          <w:sz w:val="25"/>
          <w:szCs w:val="25"/>
          <w:lang w:eastAsia="es-CO"/>
        </w:rPr>
        <w:t> Aquella cuyos ingresos por actividades ordinarias anuales sean superiores a doscientos cuatro mil novecientos noventa y cinco Unidades de Valor Tributario (204.995 UVT) e inferiores o iguales a un millón setecientos treinta y seis mil quinientos sesenta y cinco Unidades de Valor Tributario (1'736.565 UVT).</w:t>
      </w:r>
    </w:p>
    <w:p w14:paraId="51AC58E5" w14:textId="47F47E1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highlight w:val="green"/>
          <w:lang w:eastAsia="es-CO"/>
        </w:rPr>
        <w:t>2. Para el sector servicios:</w:t>
      </w:r>
    </w:p>
    <w:p w14:paraId="04CCAE30" w14:textId="5F69E122"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Microempresa.</w:t>
      </w:r>
      <w:r w:rsidRPr="001B20A5">
        <w:rPr>
          <w:rFonts w:ascii="Arial" w:eastAsia="Times New Roman" w:hAnsi="Arial" w:cs="Arial"/>
          <w:color w:val="333333"/>
          <w:sz w:val="25"/>
          <w:szCs w:val="25"/>
          <w:lang w:eastAsia="es-CO"/>
        </w:rPr>
        <w:t> Aquella cuyos ingresos por actividades ordinarias anuales sean inferiores o iguales a treinta y dos mil novecientos ochenta y ocho Unidades de Valor Tributario (32.988 UVT).</w:t>
      </w:r>
    </w:p>
    <w:p w14:paraId="1A0D21EE" w14:textId="11787D4F"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Pequeña Empresa.</w:t>
      </w:r>
      <w:r w:rsidRPr="001B20A5">
        <w:rPr>
          <w:rFonts w:ascii="Arial" w:eastAsia="Times New Roman" w:hAnsi="Arial" w:cs="Arial"/>
          <w:color w:val="333333"/>
          <w:sz w:val="25"/>
          <w:szCs w:val="25"/>
          <w:lang w:eastAsia="es-CO"/>
        </w:rPr>
        <w:t> Aquella cuyos ingresos por actividades ordinarias anuales sean superiores a treinta y dos mil novecientos ochenta y ocho Unidades de Valor Tributario (32.988 UVT) e inferiores o iguales a ciento treinta y un mil novecientos cincuenta y uno Unidades de Valor Tributario (131.951 UVT).</w:t>
      </w:r>
    </w:p>
    <w:p w14:paraId="709AFF92" w14:textId="06F2504C"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Mediana Empresa.</w:t>
      </w:r>
      <w:r w:rsidRPr="001B20A5">
        <w:rPr>
          <w:rFonts w:ascii="Arial" w:eastAsia="Times New Roman" w:hAnsi="Arial" w:cs="Arial"/>
          <w:color w:val="333333"/>
          <w:sz w:val="25"/>
          <w:szCs w:val="25"/>
          <w:lang w:eastAsia="es-CO"/>
        </w:rPr>
        <w:t> Aquella cuyos ingresos por actividades ordinarias anuales sean superiores a ciento treinta y un mil novecientos cincuenta y un Unidades de Valor Tributario (131.951 UVT) e inferiores o iguales a cuatrocientos ochenta y tres mil treinta y cuatro Unidades de Valor Tributario (483.034 UVT).</w:t>
      </w:r>
    </w:p>
    <w:p w14:paraId="39379D12" w14:textId="11DB6E0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highlight w:val="green"/>
          <w:lang w:eastAsia="es-CO"/>
        </w:rPr>
        <w:t>3. Para el sector de comercio:</w:t>
      </w:r>
    </w:p>
    <w:p w14:paraId="25919F7F"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Microempresa. Aquella cuyos ingresos por actividades ordinarias anuales sean inferiores o iguales a cuarenta y cuatro mil setecientos sesenta y nueve Unidades de Valor Tributario (44.769 UVT).</w:t>
      </w:r>
    </w:p>
    <w:p w14:paraId="4FEC4A46" w14:textId="103CB8CE"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Pequeña Empresa</w:t>
      </w:r>
      <w:r w:rsidRPr="001B20A5">
        <w:rPr>
          <w:rFonts w:ascii="Arial" w:eastAsia="Times New Roman" w:hAnsi="Arial" w:cs="Arial"/>
          <w:color w:val="333333"/>
          <w:sz w:val="25"/>
          <w:szCs w:val="25"/>
          <w:lang w:eastAsia="es-CO"/>
        </w:rPr>
        <w:t>. Aquella cuyos ingresos por actividades ordinarias anuales sean superiores a cuarenta y cuatro mil setecientos sesenta y nueve Unidades de Valor Tributario (44.769 UVT) e inferiores o iguales a cuatrocientos treinta y un mil ciento noventa y seis Unidades de Valor Tributario (431.196 UVT).</w:t>
      </w:r>
    </w:p>
    <w:p w14:paraId="52BADCB4" w14:textId="4B852319"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Mediana Empresa.</w:t>
      </w:r>
      <w:r w:rsidRPr="001B20A5">
        <w:rPr>
          <w:rFonts w:ascii="Arial" w:eastAsia="Times New Roman" w:hAnsi="Arial" w:cs="Arial"/>
          <w:color w:val="333333"/>
          <w:sz w:val="25"/>
          <w:szCs w:val="25"/>
          <w:lang w:eastAsia="es-CO"/>
        </w:rPr>
        <w:t> Aquella cuyos ingresos por actividades ordinarias anuales sean superiores a cuatrocientos treinta y un mil ciento noventa y seis Unidades de Valor Tributario (431.196 UVT) e inferiores o iguales a dos millones ciento sesenta mil seiscientos noventa y dos Unidades de Valor Tributario (2'160 .692 UVT).</w:t>
      </w:r>
    </w:p>
    <w:p w14:paraId="65B1C42C"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 </w:t>
      </w:r>
    </w:p>
    <w:p w14:paraId="6FBFC391"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lastRenderedPageBreak/>
        <w:t>PARÁGRAFO  </w:t>
      </w:r>
      <w:bookmarkStart w:id="2" w:name="2.2.1.13.2.2.p1"/>
      <w:r w:rsidRPr="001B20A5">
        <w:rPr>
          <w:rFonts w:ascii="Arial" w:eastAsia="Times New Roman" w:hAnsi="Arial" w:cs="Arial"/>
          <w:b/>
          <w:bCs/>
          <w:color w:val="333333"/>
          <w:sz w:val="25"/>
          <w:szCs w:val="25"/>
          <w:lang w:eastAsia="es-CO"/>
        </w:rPr>
        <w:t> </w:t>
      </w:r>
      <w:bookmarkEnd w:id="2"/>
      <w:r w:rsidRPr="001B20A5">
        <w:rPr>
          <w:rFonts w:ascii="Arial" w:eastAsia="Times New Roman" w:hAnsi="Arial" w:cs="Arial"/>
          <w:b/>
          <w:bCs/>
          <w:color w:val="333333"/>
          <w:sz w:val="25"/>
          <w:szCs w:val="25"/>
          <w:lang w:eastAsia="es-CO"/>
        </w:rPr>
        <w:t> 1.</w:t>
      </w:r>
      <w:r w:rsidRPr="001B20A5">
        <w:rPr>
          <w:rFonts w:ascii="Arial" w:eastAsia="Times New Roman" w:hAnsi="Arial" w:cs="Arial"/>
          <w:color w:val="333333"/>
          <w:sz w:val="25"/>
          <w:szCs w:val="25"/>
          <w:lang w:eastAsia="es-CO"/>
        </w:rPr>
        <w:t> Se considera gran empresa aquella que tiene ingresos por actividades ordinarias anuales mayores al rango superior de las medianas empresas, en cada uno de los sectores económicos descritos anteriormente.</w:t>
      </w:r>
    </w:p>
    <w:p w14:paraId="6B59BD35" w14:textId="1B8B525F"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PARÁGRAFO  </w:t>
      </w:r>
      <w:bookmarkStart w:id="3" w:name="2.2.1.13.2.2.p2"/>
      <w:r w:rsidRPr="001B20A5">
        <w:rPr>
          <w:rFonts w:ascii="Arial" w:eastAsia="Times New Roman" w:hAnsi="Arial" w:cs="Arial"/>
          <w:b/>
          <w:bCs/>
          <w:color w:val="333333"/>
          <w:sz w:val="25"/>
          <w:szCs w:val="25"/>
          <w:lang w:eastAsia="es-CO"/>
        </w:rPr>
        <w:t> </w:t>
      </w:r>
      <w:bookmarkEnd w:id="3"/>
      <w:r w:rsidRPr="001B20A5">
        <w:rPr>
          <w:rFonts w:ascii="Arial" w:eastAsia="Times New Roman" w:hAnsi="Arial" w:cs="Arial"/>
          <w:b/>
          <w:bCs/>
          <w:color w:val="333333"/>
          <w:sz w:val="25"/>
          <w:szCs w:val="25"/>
          <w:lang w:eastAsia="es-CO"/>
        </w:rPr>
        <w:t> 2.</w:t>
      </w:r>
      <w:r w:rsidRPr="001B20A5">
        <w:rPr>
          <w:rFonts w:ascii="Arial" w:eastAsia="Times New Roman" w:hAnsi="Arial" w:cs="Arial"/>
          <w:color w:val="333333"/>
          <w:sz w:val="25"/>
          <w:szCs w:val="25"/>
          <w:lang w:eastAsia="es-CO"/>
        </w:rPr>
        <w:t> Para aquella empresa cuya actividad principal no corresponda exclusivamente a uno de los anteriores sectores, los rangos a aplicar serán aquellos previstos para el sector manufacturero.</w:t>
      </w:r>
    </w:p>
    <w:p w14:paraId="1916FC7E" w14:textId="213A045B"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PARÁGRAFO  </w:t>
      </w:r>
      <w:bookmarkStart w:id="4" w:name="2.2.1.13.2.2.p3"/>
      <w:r w:rsidRPr="001B20A5">
        <w:rPr>
          <w:rFonts w:ascii="Arial" w:eastAsia="Times New Roman" w:hAnsi="Arial" w:cs="Arial"/>
          <w:b/>
          <w:bCs/>
          <w:color w:val="333333"/>
          <w:sz w:val="25"/>
          <w:szCs w:val="25"/>
          <w:lang w:eastAsia="es-CO"/>
        </w:rPr>
        <w:t> </w:t>
      </w:r>
      <w:bookmarkEnd w:id="4"/>
      <w:r w:rsidRPr="001B20A5">
        <w:rPr>
          <w:rFonts w:ascii="Arial" w:eastAsia="Times New Roman" w:hAnsi="Arial" w:cs="Arial"/>
          <w:b/>
          <w:bCs/>
          <w:color w:val="333333"/>
          <w:sz w:val="25"/>
          <w:szCs w:val="25"/>
          <w:lang w:eastAsia="es-CO"/>
        </w:rPr>
        <w:t> 3.</w:t>
      </w:r>
      <w:r w:rsidRPr="001B20A5">
        <w:rPr>
          <w:rFonts w:ascii="Arial" w:eastAsia="Times New Roman" w:hAnsi="Arial" w:cs="Arial"/>
          <w:color w:val="333333"/>
          <w:sz w:val="25"/>
          <w:szCs w:val="25"/>
          <w:lang w:eastAsia="es-CO"/>
        </w:rPr>
        <w:t> Cuando los ingresos de la empresa provengan de más de uno de los sectores contemplados en el presente Capítulo, se considerará la actividad del sector económico cuyos ingresos hayan sido más altos.</w:t>
      </w:r>
    </w:p>
    <w:p w14:paraId="59433231" w14:textId="4567AAE3"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PARÁGRAFO  </w:t>
      </w:r>
      <w:bookmarkStart w:id="5" w:name="2.2.1.13.2.2.p4"/>
      <w:r w:rsidRPr="001B20A5">
        <w:rPr>
          <w:rFonts w:ascii="Arial" w:eastAsia="Times New Roman" w:hAnsi="Arial" w:cs="Arial"/>
          <w:b/>
          <w:bCs/>
          <w:color w:val="333333"/>
          <w:sz w:val="25"/>
          <w:szCs w:val="25"/>
          <w:lang w:eastAsia="es-CO"/>
        </w:rPr>
        <w:t> </w:t>
      </w:r>
      <w:bookmarkEnd w:id="5"/>
      <w:r w:rsidRPr="001B20A5">
        <w:rPr>
          <w:rFonts w:ascii="Arial" w:eastAsia="Times New Roman" w:hAnsi="Arial" w:cs="Arial"/>
          <w:b/>
          <w:bCs/>
          <w:color w:val="333333"/>
          <w:sz w:val="25"/>
          <w:szCs w:val="25"/>
          <w:lang w:eastAsia="es-CO"/>
        </w:rPr>
        <w:t> 4. EL</w:t>
      </w:r>
      <w:r w:rsidRPr="001B20A5">
        <w:rPr>
          <w:rFonts w:ascii="Arial" w:eastAsia="Times New Roman" w:hAnsi="Arial" w:cs="Arial"/>
          <w:color w:val="333333"/>
          <w:sz w:val="25"/>
          <w:szCs w:val="25"/>
          <w:lang w:eastAsia="es-CO"/>
        </w:rPr>
        <w:t xml:space="preserve"> Ministerio de Comercio, Industria y Turismo, en conjunto con el Departamento Nacional de Estadística -DANE-, a la fecha de la </w:t>
      </w:r>
      <w:proofErr w:type="gramStart"/>
      <w:r w:rsidRPr="001B20A5">
        <w:rPr>
          <w:rFonts w:ascii="Arial" w:eastAsia="Times New Roman" w:hAnsi="Arial" w:cs="Arial"/>
          <w:color w:val="333333"/>
          <w:sz w:val="25"/>
          <w:szCs w:val="25"/>
          <w:lang w:eastAsia="es-CO"/>
        </w:rPr>
        <w:t>entrada en vigencia</w:t>
      </w:r>
      <w:proofErr w:type="gramEnd"/>
      <w:r w:rsidRPr="001B20A5">
        <w:rPr>
          <w:rFonts w:ascii="Arial" w:eastAsia="Times New Roman" w:hAnsi="Arial" w:cs="Arial"/>
          <w:color w:val="333333"/>
          <w:sz w:val="25"/>
          <w:szCs w:val="25"/>
          <w:lang w:eastAsia="es-CO"/>
        </w:rPr>
        <w:t xml:space="preserve"> del presente Capitulo establecerá, mediante acto administrativo, el anexo técnico de correspondencia de los tres sectores, manufactura, comercio y servicios con la Clasificación de las Actividades Económicas - </w:t>
      </w:r>
      <w:proofErr w:type="spellStart"/>
      <w:r w:rsidRPr="001B20A5">
        <w:rPr>
          <w:rFonts w:ascii="Arial" w:eastAsia="Times New Roman" w:hAnsi="Arial" w:cs="Arial"/>
          <w:color w:val="333333"/>
          <w:sz w:val="25"/>
          <w:szCs w:val="25"/>
          <w:lang w:eastAsia="es-CO"/>
        </w:rPr>
        <w:t>CllU</w:t>
      </w:r>
      <w:proofErr w:type="spellEnd"/>
      <w:r w:rsidRPr="001B20A5">
        <w:rPr>
          <w:rFonts w:ascii="Arial" w:eastAsia="Times New Roman" w:hAnsi="Arial" w:cs="Arial"/>
          <w:color w:val="333333"/>
          <w:sz w:val="25"/>
          <w:szCs w:val="25"/>
          <w:lang w:eastAsia="es-CO"/>
        </w:rPr>
        <w:t xml:space="preserve"> Revisión 4.</w:t>
      </w:r>
    </w:p>
    <w:p w14:paraId="708A32F4" w14:textId="4E58523B"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highlight w:val="green"/>
          <w:lang w:eastAsia="es-CO"/>
        </w:rPr>
        <w:t>ARTÍCULO  </w:t>
      </w:r>
      <w:bookmarkStart w:id="6" w:name="2.2.1.13.2.3"/>
      <w:r w:rsidRPr="001B20A5">
        <w:rPr>
          <w:rFonts w:ascii="Arial" w:eastAsia="Times New Roman" w:hAnsi="Arial" w:cs="Arial"/>
          <w:b/>
          <w:bCs/>
          <w:color w:val="333333"/>
          <w:sz w:val="25"/>
          <w:szCs w:val="25"/>
          <w:highlight w:val="green"/>
          <w:lang w:eastAsia="es-CO"/>
        </w:rPr>
        <w:t> </w:t>
      </w:r>
      <w:bookmarkEnd w:id="6"/>
      <w:r w:rsidRPr="001B20A5">
        <w:rPr>
          <w:rFonts w:ascii="Arial" w:eastAsia="Times New Roman" w:hAnsi="Arial" w:cs="Arial"/>
          <w:b/>
          <w:bCs/>
          <w:color w:val="333333"/>
          <w:sz w:val="25"/>
          <w:szCs w:val="25"/>
          <w:highlight w:val="green"/>
          <w:lang w:eastAsia="es-CO"/>
        </w:rPr>
        <w:t> 2.2.1.13.2.3</w:t>
      </w:r>
      <w:r w:rsidRPr="001B20A5">
        <w:rPr>
          <w:rFonts w:ascii="Arial" w:eastAsia="Times New Roman" w:hAnsi="Arial" w:cs="Arial"/>
          <w:color w:val="333333"/>
          <w:sz w:val="25"/>
          <w:szCs w:val="25"/>
          <w:highlight w:val="green"/>
          <w:lang w:eastAsia="es-CO"/>
        </w:rPr>
        <w:t>. Definición de Ingresos por Actividades Ordinarias.</w:t>
      </w:r>
    </w:p>
    <w:p w14:paraId="00D1B78D"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Para efectos de la clasificación de que trata el presente Capítulo, se entenderá que el concepto de ventas brutas anuales se asimila al de ingresos por actividades ordinarias. Los ingresos por actividades ordinarias son aquellos que se originan en el curso de las actividades ordinarias de la empresa, tales como las actividades de operación y otras actividades que no son consideradas como actividades de inversión o financiación, de conformidad con el marco de información financiera aplicado por la empresa.</w:t>
      </w:r>
    </w:p>
    <w:p w14:paraId="7FF1FD93" w14:textId="0F7485DD"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highlight w:val="green"/>
          <w:lang w:eastAsia="es-CO"/>
        </w:rPr>
        <w:t>Dichos ingresos deberán corresponder a los del año inmediatamente anterior, con corte a 31 de diciembre, a la fecha de presentación de la solicitud de la propuesta o del trámite para el que se quiera hacer valer la clasificación establecida en este Capítulo, verificables de acuerdo con las normas vigentes.</w:t>
      </w:r>
    </w:p>
    <w:p w14:paraId="07532752" w14:textId="2E0087CE"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p w14:paraId="1C182366"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 </w:t>
      </w:r>
    </w:p>
    <w:p w14:paraId="6512BE48"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lastRenderedPageBreak/>
        <w:t>ARTÍCULO  </w:t>
      </w:r>
      <w:bookmarkStart w:id="7" w:name="2.2.1.13.2.4"/>
      <w:r w:rsidRPr="001B20A5">
        <w:rPr>
          <w:rFonts w:ascii="Arial" w:eastAsia="Times New Roman" w:hAnsi="Arial" w:cs="Arial"/>
          <w:b/>
          <w:bCs/>
          <w:color w:val="333333"/>
          <w:sz w:val="25"/>
          <w:szCs w:val="25"/>
          <w:lang w:eastAsia="es-CO"/>
        </w:rPr>
        <w:t> </w:t>
      </w:r>
      <w:bookmarkEnd w:id="7"/>
      <w:r w:rsidRPr="001B20A5">
        <w:rPr>
          <w:rFonts w:ascii="Arial" w:eastAsia="Times New Roman" w:hAnsi="Arial" w:cs="Arial"/>
          <w:b/>
          <w:bCs/>
          <w:color w:val="333333"/>
          <w:sz w:val="25"/>
          <w:szCs w:val="25"/>
          <w:lang w:eastAsia="es-CO"/>
        </w:rPr>
        <w:t> 2.2.1.13.2.4.</w:t>
      </w:r>
      <w:r w:rsidRPr="001B20A5">
        <w:rPr>
          <w:rFonts w:ascii="Arial" w:eastAsia="Times New Roman" w:hAnsi="Arial" w:cs="Arial"/>
          <w:color w:val="333333"/>
          <w:sz w:val="25"/>
          <w:szCs w:val="25"/>
          <w:lang w:eastAsia="es-CO"/>
        </w:rPr>
        <w:t> Acreditación del tamaño empresarial. Las empresas deberán acreditar su tamaño empresarial mediante certificación donde conste el valor de los ingresos por actividades ordinarias al 31 de diciembre del año inmediatamente anterior. o los obtenidos durante el tiempo de su operación, de la siguiente forma:</w:t>
      </w:r>
    </w:p>
    <w:p w14:paraId="6AFF45ED" w14:textId="2D7CCE6D"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1. Las personas naturales mediante certificación expedida por estas.</w:t>
      </w:r>
    </w:p>
    <w:p w14:paraId="1FDA1D50" w14:textId="527B5CC3"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2. Las personas jurídicas mediante certificación expedida por el representante legal o el contador o revisor fiscal, si están obligadas a tenerlo.</w:t>
      </w:r>
    </w:p>
    <w:p w14:paraId="4B44C4E6" w14:textId="32052955"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Para los anteriores efectos, deberán observarse los rangos de clasificación establecidos en el presente Capítulo.</w:t>
      </w:r>
    </w:p>
    <w:p w14:paraId="4AA7B741" w14:textId="5A0F19F3"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PARÁGRAFO  </w:t>
      </w:r>
      <w:bookmarkStart w:id="8" w:name="2.2.1.13.2.4.p"/>
      <w:proofErr w:type="gramStart"/>
      <w:r w:rsidRPr="001B20A5">
        <w:rPr>
          <w:rFonts w:ascii="Arial" w:eastAsia="Times New Roman" w:hAnsi="Arial" w:cs="Arial"/>
          <w:color w:val="333333"/>
          <w:sz w:val="25"/>
          <w:szCs w:val="25"/>
          <w:lang w:eastAsia="es-CO"/>
        </w:rPr>
        <w:t> </w:t>
      </w:r>
      <w:bookmarkEnd w:id="8"/>
      <w:r w:rsidRPr="001B20A5">
        <w:rPr>
          <w:rFonts w:ascii="Arial" w:eastAsia="Times New Roman" w:hAnsi="Arial" w:cs="Arial"/>
          <w:color w:val="333333"/>
          <w:sz w:val="25"/>
          <w:szCs w:val="25"/>
          <w:lang w:eastAsia="es-CO"/>
        </w:rPr>
        <w:t> .</w:t>
      </w:r>
      <w:proofErr w:type="gramEnd"/>
      <w:r w:rsidRPr="001B20A5">
        <w:rPr>
          <w:rFonts w:ascii="Arial" w:eastAsia="Times New Roman" w:hAnsi="Arial" w:cs="Arial"/>
          <w:color w:val="333333"/>
          <w:sz w:val="25"/>
          <w:szCs w:val="25"/>
          <w:lang w:eastAsia="es-CO"/>
        </w:rPr>
        <w:t xml:space="preserve"> Para la aplicación de los incentivos del sistema de compras y contratación pública,</w:t>
      </w:r>
      <w:r>
        <w:rPr>
          <w:rFonts w:ascii="Arial" w:eastAsia="Times New Roman" w:hAnsi="Arial" w:cs="Arial"/>
          <w:color w:val="333333"/>
          <w:sz w:val="25"/>
          <w:szCs w:val="25"/>
          <w:lang w:eastAsia="es-CO"/>
        </w:rPr>
        <w:t xml:space="preserve"> </w:t>
      </w:r>
      <w:r w:rsidRPr="001B20A5">
        <w:rPr>
          <w:rFonts w:ascii="Arial" w:eastAsia="Times New Roman" w:hAnsi="Arial" w:cs="Arial"/>
          <w:color w:val="333333"/>
          <w:sz w:val="25"/>
          <w:szCs w:val="25"/>
          <w:lang w:eastAsia="es-CO"/>
        </w:rPr>
        <w:t>la acreditación del tama</w:t>
      </w:r>
      <w:r>
        <w:rPr>
          <w:rFonts w:ascii="Arial" w:eastAsia="Times New Roman" w:hAnsi="Arial" w:cs="Arial"/>
          <w:color w:val="333333"/>
          <w:sz w:val="25"/>
          <w:szCs w:val="25"/>
          <w:lang w:eastAsia="es-CO"/>
        </w:rPr>
        <w:t>ño</w:t>
      </w:r>
      <w:r w:rsidRPr="001B20A5">
        <w:rPr>
          <w:rFonts w:ascii="Arial" w:eastAsia="Times New Roman" w:hAnsi="Arial" w:cs="Arial"/>
          <w:color w:val="333333"/>
          <w:sz w:val="25"/>
          <w:szCs w:val="25"/>
          <w:lang w:eastAsia="es-CO"/>
        </w:rPr>
        <w:t xml:space="preserve"> empresarial se efectuará de acuerdo con lo previsto en el artículo 2.2.1.2.4.2.4 del Decreto 1082 de 2015 y demás normas que lo aclaren, modifiquen o adicionen.</w:t>
      </w:r>
    </w:p>
    <w:p w14:paraId="469D9145" w14:textId="5186613B"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highlight w:val="green"/>
          <w:lang w:eastAsia="es-CO"/>
        </w:rPr>
        <w:t>ARTÍCULO  </w:t>
      </w:r>
      <w:bookmarkStart w:id="9" w:name="2.2.1.13.2.5"/>
      <w:r w:rsidRPr="001B20A5">
        <w:rPr>
          <w:rFonts w:ascii="Arial" w:eastAsia="Times New Roman" w:hAnsi="Arial" w:cs="Arial"/>
          <w:b/>
          <w:bCs/>
          <w:color w:val="333333"/>
          <w:sz w:val="25"/>
          <w:szCs w:val="25"/>
          <w:highlight w:val="green"/>
          <w:lang w:eastAsia="es-CO"/>
        </w:rPr>
        <w:t> </w:t>
      </w:r>
      <w:bookmarkEnd w:id="9"/>
      <w:r w:rsidRPr="001B20A5">
        <w:rPr>
          <w:rFonts w:ascii="Arial" w:eastAsia="Times New Roman" w:hAnsi="Arial" w:cs="Arial"/>
          <w:b/>
          <w:bCs/>
          <w:color w:val="333333"/>
          <w:sz w:val="25"/>
          <w:szCs w:val="25"/>
          <w:highlight w:val="green"/>
          <w:lang w:eastAsia="es-CO"/>
        </w:rPr>
        <w:t> 2.2.1.13.2.5</w:t>
      </w:r>
      <w:r w:rsidRPr="001B20A5">
        <w:rPr>
          <w:rFonts w:ascii="Arial" w:eastAsia="Times New Roman" w:hAnsi="Arial" w:cs="Arial"/>
          <w:color w:val="333333"/>
          <w:sz w:val="25"/>
          <w:szCs w:val="25"/>
          <w:highlight w:val="green"/>
          <w:lang w:eastAsia="es-CO"/>
        </w:rPr>
        <w:t>. Registro de información de los ingresos por actividades ordinarias. El valor de los ingresos por actividades ordinarias anuales de las empresas deberá ser reportado de manera obligatoria en el formulario de inscripción y actualización del Registro Único Empresarial y Social -RUES.</w:t>
      </w:r>
    </w:p>
    <w:p w14:paraId="56049B88" w14:textId="403B722A"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Para estos efectos, se seguirán las instrucciones que imparte la Superintendencia de Industria y Comercio, necesarias para la adecuación de los formularios de inscripción y actualización del Registro Único Empresarial y Social -RUES.</w:t>
      </w:r>
    </w:p>
    <w:p w14:paraId="7E279451" w14:textId="276AEE7D"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b/>
          <w:bCs/>
          <w:color w:val="333333"/>
          <w:sz w:val="25"/>
          <w:szCs w:val="25"/>
          <w:lang w:eastAsia="es-CO"/>
        </w:rPr>
        <w:t>PARÁGRAFO  </w:t>
      </w:r>
      <w:bookmarkStart w:id="10" w:name="2.2.1.13.2.5.p"/>
      <w:proofErr w:type="gramStart"/>
      <w:r w:rsidRPr="001B20A5">
        <w:rPr>
          <w:rFonts w:ascii="Arial" w:eastAsia="Times New Roman" w:hAnsi="Arial" w:cs="Arial"/>
          <w:b/>
          <w:bCs/>
          <w:color w:val="333333"/>
          <w:sz w:val="25"/>
          <w:szCs w:val="25"/>
          <w:lang w:eastAsia="es-CO"/>
        </w:rPr>
        <w:t> </w:t>
      </w:r>
      <w:bookmarkEnd w:id="10"/>
      <w:r w:rsidRPr="001B20A5">
        <w:rPr>
          <w:rFonts w:ascii="Arial" w:eastAsia="Times New Roman" w:hAnsi="Arial" w:cs="Arial"/>
          <w:b/>
          <w:bCs/>
          <w:color w:val="333333"/>
          <w:sz w:val="25"/>
          <w:szCs w:val="25"/>
          <w:lang w:eastAsia="es-CO"/>
        </w:rPr>
        <w:t> </w:t>
      </w:r>
      <w:r w:rsidRPr="001B20A5">
        <w:rPr>
          <w:rFonts w:ascii="Arial" w:eastAsia="Times New Roman" w:hAnsi="Arial" w:cs="Arial"/>
          <w:color w:val="333333"/>
          <w:sz w:val="25"/>
          <w:szCs w:val="25"/>
          <w:lang w:eastAsia="es-CO"/>
        </w:rPr>
        <w:t>.</w:t>
      </w:r>
      <w:proofErr w:type="gramEnd"/>
      <w:r w:rsidRPr="001B20A5">
        <w:rPr>
          <w:rFonts w:ascii="Arial" w:eastAsia="Times New Roman" w:hAnsi="Arial" w:cs="Arial"/>
          <w:color w:val="333333"/>
          <w:sz w:val="25"/>
          <w:szCs w:val="25"/>
          <w:lang w:eastAsia="es-CO"/>
        </w:rPr>
        <w:t xml:space="preserve"> Las Cámaras de Comercio podrán abstenerse de realizar la inscripción de la matricula mercantil o la renovación en el evento en que la empresa no reporte en el formulario RUES los ingresos por actividades ordinarias anuales y la actividad económica.</w:t>
      </w:r>
    </w:p>
    <w:p w14:paraId="5F5A029C" w14:textId="1BCB8E43"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i/>
          <w:iCs/>
          <w:color w:val="333333"/>
          <w:sz w:val="25"/>
          <w:szCs w:val="25"/>
          <w:highlight w:val="green"/>
          <w:lang w:eastAsia="es-CO"/>
        </w:rPr>
        <w:t>(Decreto 957 de 2019, art. </w:t>
      </w:r>
      <w:hyperlink r:id="rId4" w:anchor="1" w:history="1">
        <w:r w:rsidRPr="001B20A5">
          <w:rPr>
            <w:rFonts w:ascii="Arial" w:eastAsia="Times New Roman" w:hAnsi="Arial" w:cs="Arial"/>
            <w:i/>
            <w:iCs/>
            <w:color w:val="007BFF"/>
            <w:sz w:val="25"/>
            <w:szCs w:val="25"/>
            <w:highlight w:val="green"/>
            <w:u w:val="single"/>
            <w:lang w:eastAsia="es-CO"/>
          </w:rPr>
          <w:t>1</w:t>
        </w:r>
      </w:hyperlink>
      <w:r w:rsidRPr="001B20A5">
        <w:rPr>
          <w:rFonts w:ascii="Arial" w:eastAsia="Times New Roman" w:hAnsi="Arial" w:cs="Arial"/>
          <w:i/>
          <w:iCs/>
          <w:color w:val="333333"/>
          <w:sz w:val="25"/>
          <w:szCs w:val="25"/>
          <w:highlight w:val="green"/>
          <w:lang w:eastAsia="es-CO"/>
        </w:rPr>
        <w:t>)</w:t>
      </w:r>
    </w:p>
    <w:p w14:paraId="1B231183" w14:textId="77777777" w:rsidR="001B20A5" w:rsidRPr="001B20A5" w:rsidRDefault="001B20A5" w:rsidP="001B20A5">
      <w:pPr>
        <w:shd w:val="clear" w:color="auto" w:fill="FFFFFF"/>
        <w:spacing w:after="100" w:afterAutospacing="1" w:line="360" w:lineRule="auto"/>
        <w:jc w:val="both"/>
        <w:rPr>
          <w:rFonts w:ascii="Arial" w:eastAsia="Times New Roman" w:hAnsi="Arial" w:cs="Arial"/>
          <w:color w:val="333333"/>
          <w:sz w:val="25"/>
          <w:szCs w:val="25"/>
          <w:lang w:eastAsia="es-CO"/>
        </w:rPr>
      </w:pPr>
      <w:r w:rsidRPr="001B20A5">
        <w:rPr>
          <w:rFonts w:ascii="Arial" w:eastAsia="Times New Roman" w:hAnsi="Arial" w:cs="Arial"/>
          <w:color w:val="333333"/>
          <w:sz w:val="25"/>
          <w:szCs w:val="25"/>
          <w:lang w:eastAsia="es-CO"/>
        </w:rPr>
        <w:t> </w:t>
      </w:r>
    </w:p>
    <w:p w14:paraId="1CF24659" w14:textId="77777777" w:rsidR="007F5CC8" w:rsidRDefault="007F5CC8" w:rsidP="001B20A5">
      <w:pPr>
        <w:spacing w:line="360" w:lineRule="auto"/>
        <w:jc w:val="both"/>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A5"/>
    <w:rsid w:val="000F3837"/>
    <w:rsid w:val="001B20A5"/>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9687"/>
  <w15:chartTrackingRefBased/>
  <w15:docId w15:val="{2EEC753F-F1FB-4ADC-91B2-712072A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uncionpublica.gov.co/eva/gestornormativo/norma.php?i=945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6381</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2021-06-24T15:31:00Z</dcterms:created>
  <dcterms:modified xsi:type="dcterms:W3CDTF">2021-06-24T15:36:00Z</dcterms:modified>
</cp:coreProperties>
</file>